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61" w:rsidRDefault="00ED2961" w:rsidP="00ED2961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bookmarkStart w:id="0" w:name="_GoBack"/>
      <w:proofErr w:type="spellStart"/>
      <w:r>
        <w:rPr>
          <w:b/>
          <w:sz w:val="28"/>
          <w:szCs w:val="28"/>
        </w:rPr>
        <w:t>Евсюков</w:t>
      </w:r>
      <w:proofErr w:type="spellEnd"/>
      <w:r>
        <w:rPr>
          <w:b/>
          <w:sz w:val="28"/>
          <w:szCs w:val="28"/>
        </w:rPr>
        <w:t xml:space="preserve"> С.Г., Устюжанина Е.В. </w:t>
      </w:r>
    </w:p>
    <w:bookmarkEnd w:id="0"/>
    <w:p w:rsidR="00ED2961" w:rsidRDefault="00ED2961" w:rsidP="00ED2961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Москва, ЦЭМИ РАН</w:t>
      </w:r>
    </w:p>
    <w:p w:rsidR="00ED2961" w:rsidRPr="008F0295" w:rsidRDefault="00ED2961" w:rsidP="00ED2961">
      <w:pPr>
        <w:spacing w:after="0" w:line="240" w:lineRule="auto"/>
        <w:ind w:firstLine="709"/>
        <w:jc w:val="right"/>
        <w:rPr>
          <w:sz w:val="28"/>
          <w:szCs w:val="28"/>
        </w:rPr>
      </w:pPr>
      <w:r w:rsidRPr="008F0295">
        <w:rPr>
          <w:rStyle w:val="a3"/>
          <w:color w:val="auto"/>
          <w:sz w:val="28"/>
          <w:szCs w:val="28"/>
          <w:u w:val="none"/>
          <w:lang w:val="en-US"/>
        </w:rPr>
        <w:t>dba</w:t>
      </w:r>
      <w:r w:rsidRPr="008F0295">
        <w:rPr>
          <w:rStyle w:val="a3"/>
          <w:color w:val="auto"/>
          <w:sz w:val="28"/>
          <w:szCs w:val="28"/>
          <w:u w:val="none"/>
        </w:rPr>
        <w:t>-</w:t>
      </w:r>
      <w:proofErr w:type="spellStart"/>
      <w:r w:rsidRPr="008F0295">
        <w:rPr>
          <w:rStyle w:val="a3"/>
          <w:color w:val="auto"/>
          <w:sz w:val="28"/>
          <w:szCs w:val="28"/>
          <w:u w:val="none"/>
          <w:lang w:val="en-US"/>
        </w:rPr>
        <w:t>guu</w:t>
      </w:r>
      <w:proofErr w:type="spellEnd"/>
      <w:r w:rsidRPr="008F0295">
        <w:rPr>
          <w:rStyle w:val="a3"/>
          <w:color w:val="auto"/>
          <w:sz w:val="28"/>
          <w:szCs w:val="28"/>
          <w:u w:val="none"/>
        </w:rPr>
        <w:t>@</w:t>
      </w:r>
      <w:proofErr w:type="spellStart"/>
      <w:r w:rsidRPr="008F0295">
        <w:rPr>
          <w:rStyle w:val="a3"/>
          <w:color w:val="auto"/>
          <w:sz w:val="28"/>
          <w:szCs w:val="28"/>
          <w:u w:val="none"/>
          <w:lang w:val="en-US"/>
        </w:rPr>
        <w:t>yandex</w:t>
      </w:r>
      <w:proofErr w:type="spellEnd"/>
      <w:r w:rsidRPr="008F0295">
        <w:rPr>
          <w:rStyle w:val="a3"/>
          <w:color w:val="auto"/>
          <w:sz w:val="28"/>
          <w:szCs w:val="28"/>
          <w:u w:val="none"/>
        </w:rPr>
        <w:t>.</w:t>
      </w:r>
      <w:proofErr w:type="spellStart"/>
      <w:r w:rsidRPr="008F0295">
        <w:rPr>
          <w:rStyle w:val="a3"/>
          <w:color w:val="auto"/>
          <w:sz w:val="28"/>
          <w:szCs w:val="28"/>
          <w:u w:val="none"/>
        </w:rPr>
        <w:t>ru</w:t>
      </w:r>
      <w:proofErr w:type="spellEnd"/>
    </w:p>
    <w:p w:rsidR="008F0295" w:rsidRDefault="008F0295" w:rsidP="00ED2961">
      <w:pPr>
        <w:spacing w:after="0" w:line="240" w:lineRule="auto"/>
        <w:jc w:val="center"/>
        <w:rPr>
          <w:b/>
          <w:sz w:val="28"/>
          <w:szCs w:val="28"/>
        </w:rPr>
      </w:pPr>
    </w:p>
    <w:p w:rsidR="00ED2961" w:rsidRDefault="00ED2961" w:rsidP="008F029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ПЛАТФОРМЫ КАК ИНТЕГРАТОРЫ СЕТЕЙ СОЗДАНИЯ СТОИМОСТИ</w:t>
      </w:r>
    </w:p>
    <w:p w:rsidR="00ED2961" w:rsidRPr="008F0295" w:rsidRDefault="00ED2961" w:rsidP="008F0295">
      <w:pPr>
        <w:spacing w:after="0" w:line="240" w:lineRule="auto"/>
        <w:jc w:val="center"/>
        <w:rPr>
          <w:i/>
          <w:szCs w:val="28"/>
        </w:rPr>
      </w:pPr>
    </w:p>
    <w:p w:rsidR="00ED2961" w:rsidRPr="008F0295" w:rsidRDefault="00ED2961" w:rsidP="008F0295">
      <w:pPr>
        <w:spacing w:after="0" w:line="240" w:lineRule="auto"/>
        <w:jc w:val="center"/>
        <w:rPr>
          <w:i/>
          <w:szCs w:val="28"/>
        </w:rPr>
      </w:pPr>
      <w:r w:rsidRPr="008F0295">
        <w:rPr>
          <w:i/>
          <w:szCs w:val="28"/>
        </w:rPr>
        <w:t xml:space="preserve">Исследование подготовлено при финансовой поддержке РФФИ, </w:t>
      </w:r>
      <w:r w:rsidRPr="008F0295">
        <w:rPr>
          <w:i/>
          <w:szCs w:val="28"/>
        </w:rPr>
        <w:br/>
        <w:t>проект № 18-010-00216</w:t>
      </w:r>
    </w:p>
    <w:p w:rsidR="008F0295" w:rsidRPr="00DE5564" w:rsidRDefault="008F0295" w:rsidP="00ED2961">
      <w:pPr>
        <w:spacing w:after="0" w:line="240" w:lineRule="auto"/>
        <w:jc w:val="center"/>
        <w:rPr>
          <w:b/>
          <w:i/>
          <w:szCs w:val="28"/>
        </w:rPr>
      </w:pPr>
    </w:p>
    <w:p w:rsidR="00ED2961" w:rsidRPr="008F0295" w:rsidRDefault="00ED2961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цифровые платформы находятся в центре научного и публицистического обсуждения значительного числа исследователей. Во многом это объясняется бурным развитием данной модели организации бизнеса и ее огромным влиянием на переформатирование экономических связей. Уже тот факт, что в течение последних нескольких лет 8 из 10 крупнейших (по капитализации) компаний мира – это компании, которые можно отнести к цифровым платформам – </w:t>
      </w:r>
      <w:r>
        <w:rPr>
          <w:sz w:val="28"/>
          <w:szCs w:val="28"/>
          <w:lang w:val="en-US"/>
        </w:rPr>
        <w:t>Microsoft</w:t>
      </w:r>
      <w:r w:rsidRPr="0027626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Apple</w:t>
      </w:r>
      <w:r w:rsidRPr="0027626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27626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Alphabet</w:t>
      </w:r>
      <w:r w:rsidRPr="0027626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Google</w:t>
      </w:r>
      <w:r w:rsidRPr="00276263"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Facebook</w:t>
      </w:r>
      <w:r w:rsidRPr="0027626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Alibaba</w:t>
      </w:r>
      <w:r w:rsidRPr="00276263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Tencent</w:t>
      </w:r>
      <w:proofErr w:type="spellEnd"/>
      <w:r w:rsidRPr="002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впечатляет. </w:t>
      </w:r>
    </w:p>
    <w:p w:rsidR="00C15FC7" w:rsidRPr="008F0295" w:rsidRDefault="00ED2961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Вместе с тем, нельзя не увидеть и обратной стороны медали. Огромное число компаний, который пытались организовать свой бизнес в виде платформ, либо так и не смогли выйти на уровень окупаемости, либо разорились. Согласно исследованиям </w:t>
      </w:r>
      <w:r w:rsidR="00A262F3" w:rsidRPr="008F0295">
        <w:rPr>
          <w:sz w:val="28"/>
          <w:szCs w:val="28"/>
        </w:rPr>
        <w:t>[</w:t>
      </w:r>
      <w:proofErr w:type="spellStart"/>
      <w:r w:rsidRPr="008F0295">
        <w:rPr>
          <w:sz w:val="28"/>
          <w:szCs w:val="28"/>
        </w:rPr>
        <w:t>Йоффи</w:t>
      </w:r>
      <w:proofErr w:type="spellEnd"/>
      <w:r w:rsidRPr="008F0295">
        <w:rPr>
          <w:sz w:val="28"/>
          <w:szCs w:val="28"/>
        </w:rPr>
        <w:t xml:space="preserve"> и др., 2019</w:t>
      </w:r>
      <w:r w:rsidR="00A262F3" w:rsidRPr="008F0295">
        <w:rPr>
          <w:sz w:val="28"/>
          <w:szCs w:val="28"/>
        </w:rPr>
        <w:t>]</w:t>
      </w:r>
      <w:r w:rsidRPr="008F0295">
        <w:rPr>
          <w:sz w:val="28"/>
          <w:szCs w:val="28"/>
        </w:rPr>
        <w:t>, средний срок жизни платформы составляет меньше 5 лет. Многие платформы прекращают свою деятельность в течение первых 2–3 лет после выхода на рынок.</w:t>
      </w:r>
    </w:p>
    <w:p w:rsidR="00007763" w:rsidRPr="008F0295" w:rsidRDefault="0000776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В работе мы будем опираться на базовую классификацию цифровых платформ, предложенную в работе </w:t>
      </w:r>
      <w:r w:rsidR="00A262F3" w:rsidRPr="008F0295">
        <w:rPr>
          <w:sz w:val="28"/>
          <w:szCs w:val="28"/>
        </w:rPr>
        <w:t>[</w:t>
      </w:r>
      <w:proofErr w:type="spellStart"/>
      <w:r w:rsidRPr="008F0295">
        <w:rPr>
          <w:sz w:val="28"/>
          <w:szCs w:val="28"/>
        </w:rPr>
        <w:t>Йоффи</w:t>
      </w:r>
      <w:proofErr w:type="spellEnd"/>
      <w:r w:rsidRPr="008F0295">
        <w:rPr>
          <w:sz w:val="28"/>
          <w:szCs w:val="28"/>
        </w:rPr>
        <w:t xml:space="preserve"> и др., 2019</w:t>
      </w:r>
      <w:r w:rsidR="00A262F3" w:rsidRPr="008F0295">
        <w:rPr>
          <w:sz w:val="28"/>
          <w:szCs w:val="28"/>
        </w:rPr>
        <w:t>]</w:t>
      </w:r>
      <w:r w:rsidRPr="008F0295">
        <w:rPr>
          <w:sz w:val="28"/>
          <w:szCs w:val="28"/>
        </w:rPr>
        <w:t>: инновационные и трансакционные. Инновационные (точнее – программные) платформы позволяют своим контрагентам добавлять дополнительные продукты и услуги в основной программный продукт или технологию. Трансакционные платформы обеспечивают осуществление трансакций, в том числе, обмен информацией, продуктами или услугами между пользователями платформы. Объектом исследования настоящей статьи являются трансакционные цифровые платформы.</w:t>
      </w:r>
    </w:p>
    <w:p w:rsidR="00ED2961" w:rsidRPr="008F0295" w:rsidRDefault="0000776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Под трансакционными платформами можно понимать два рода явлений. В узком смысле слова это форма организации бизнеса конкретной компании – оператора платформы, будь то </w:t>
      </w:r>
      <w:r w:rsidRPr="008F0295">
        <w:rPr>
          <w:sz w:val="28"/>
          <w:szCs w:val="28"/>
          <w:lang w:val="en-US"/>
        </w:rPr>
        <w:t>Amazon</w:t>
      </w:r>
      <w:r w:rsidRPr="008F0295">
        <w:rPr>
          <w:sz w:val="28"/>
          <w:szCs w:val="28"/>
        </w:rPr>
        <w:t xml:space="preserve">, </w:t>
      </w:r>
      <w:r w:rsidRPr="008F0295">
        <w:rPr>
          <w:sz w:val="28"/>
          <w:szCs w:val="28"/>
          <w:lang w:val="en-US"/>
        </w:rPr>
        <w:t>Alibaba</w:t>
      </w:r>
      <w:r w:rsidRPr="008F0295">
        <w:rPr>
          <w:sz w:val="28"/>
          <w:szCs w:val="28"/>
        </w:rPr>
        <w:t xml:space="preserve"> или </w:t>
      </w:r>
      <w:r w:rsidRPr="008F0295">
        <w:rPr>
          <w:sz w:val="28"/>
          <w:szCs w:val="28"/>
          <w:lang w:val="en-US"/>
        </w:rPr>
        <w:t>Facebook</w:t>
      </w:r>
      <w:r w:rsidRPr="008F0295">
        <w:rPr>
          <w:sz w:val="28"/>
          <w:szCs w:val="28"/>
        </w:rPr>
        <w:t xml:space="preserve"> </w:t>
      </w:r>
      <w:r w:rsidR="00A262F3" w:rsidRPr="008F0295">
        <w:rPr>
          <w:sz w:val="28"/>
          <w:szCs w:val="28"/>
        </w:rPr>
        <w:t>[</w:t>
      </w:r>
      <w:r w:rsidRPr="008F0295">
        <w:rPr>
          <w:sz w:val="28"/>
          <w:szCs w:val="28"/>
        </w:rPr>
        <w:t xml:space="preserve">Яблонский, 2013; </w:t>
      </w:r>
      <w:proofErr w:type="spellStart"/>
      <w:r w:rsidRPr="008F0295">
        <w:rPr>
          <w:sz w:val="28"/>
          <w:szCs w:val="28"/>
          <w:lang w:val="en-US"/>
        </w:rPr>
        <w:t>Cachon</w:t>
      </w:r>
      <w:proofErr w:type="spellEnd"/>
      <w:r w:rsidRPr="008F0295">
        <w:rPr>
          <w:sz w:val="28"/>
          <w:szCs w:val="28"/>
        </w:rPr>
        <w:t xml:space="preserve"> </w:t>
      </w:r>
      <w:r w:rsidRPr="008F0295">
        <w:rPr>
          <w:sz w:val="28"/>
          <w:szCs w:val="28"/>
          <w:lang w:val="en-US"/>
        </w:rPr>
        <w:t>et</w:t>
      </w:r>
      <w:r w:rsidRPr="008F0295">
        <w:rPr>
          <w:sz w:val="28"/>
          <w:szCs w:val="28"/>
        </w:rPr>
        <w:t xml:space="preserve"> </w:t>
      </w:r>
      <w:r w:rsidRPr="008F0295">
        <w:rPr>
          <w:sz w:val="28"/>
          <w:szCs w:val="28"/>
          <w:lang w:val="en-US"/>
        </w:rPr>
        <w:t>al</w:t>
      </w:r>
      <w:r w:rsidRPr="008F0295">
        <w:rPr>
          <w:sz w:val="28"/>
          <w:szCs w:val="28"/>
        </w:rPr>
        <w:t>., 2017</w:t>
      </w:r>
      <w:r w:rsidR="00A262F3" w:rsidRPr="008F0295">
        <w:rPr>
          <w:sz w:val="28"/>
          <w:szCs w:val="28"/>
        </w:rPr>
        <w:t>]</w:t>
      </w:r>
      <w:r w:rsidRPr="008F0295">
        <w:rPr>
          <w:sz w:val="28"/>
          <w:szCs w:val="28"/>
        </w:rPr>
        <w:t xml:space="preserve">. В широком смысле – способ организации взаимодействия множества агентов </w:t>
      </w:r>
      <w:r w:rsidR="00A262F3" w:rsidRPr="008F0295">
        <w:rPr>
          <w:sz w:val="28"/>
          <w:szCs w:val="28"/>
        </w:rPr>
        <w:t>[</w:t>
      </w:r>
      <w:proofErr w:type="spellStart"/>
      <w:r w:rsidRPr="008F0295">
        <w:rPr>
          <w:sz w:val="28"/>
          <w:szCs w:val="28"/>
        </w:rPr>
        <w:t>Rochet</w:t>
      </w:r>
      <w:proofErr w:type="spellEnd"/>
      <w:r w:rsidRPr="008F0295">
        <w:rPr>
          <w:sz w:val="28"/>
          <w:szCs w:val="28"/>
        </w:rPr>
        <w:t xml:space="preserve">, </w:t>
      </w:r>
      <w:proofErr w:type="spellStart"/>
      <w:r w:rsidRPr="008F0295">
        <w:rPr>
          <w:sz w:val="28"/>
          <w:szCs w:val="28"/>
        </w:rPr>
        <w:t>Tirole</w:t>
      </w:r>
      <w:proofErr w:type="spellEnd"/>
      <w:r w:rsidRPr="008F0295">
        <w:rPr>
          <w:sz w:val="28"/>
          <w:szCs w:val="28"/>
        </w:rPr>
        <w:t xml:space="preserve">, 2003; </w:t>
      </w:r>
      <w:proofErr w:type="spellStart"/>
      <w:r w:rsidRPr="008F0295">
        <w:rPr>
          <w:sz w:val="28"/>
          <w:szCs w:val="28"/>
        </w:rPr>
        <w:t>Hagiu</w:t>
      </w:r>
      <w:proofErr w:type="spellEnd"/>
      <w:r w:rsidRPr="008F0295">
        <w:rPr>
          <w:sz w:val="28"/>
          <w:szCs w:val="28"/>
        </w:rPr>
        <w:t>, 2009</w:t>
      </w:r>
      <w:r w:rsidR="00A262F3" w:rsidRPr="008F0295">
        <w:rPr>
          <w:sz w:val="28"/>
          <w:szCs w:val="28"/>
        </w:rPr>
        <w:t>]</w:t>
      </w:r>
      <w:r w:rsidRPr="008F0295">
        <w:rPr>
          <w:sz w:val="28"/>
          <w:szCs w:val="28"/>
        </w:rPr>
        <w:t xml:space="preserve">. 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Наше определение объекта исследования: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Трансакционная цифровая платформа (ТЦП) – это поле взаимодействия экономических агентов, организованное центральным </w:t>
      </w:r>
      <w:r w:rsidRPr="008F0295">
        <w:rPr>
          <w:sz w:val="28"/>
          <w:szCs w:val="28"/>
        </w:rPr>
        <w:lastRenderedPageBreak/>
        <w:t>агентом (оператором платформы) на основе использования информационно-коммуникационных технологий, которое порождает сетевые эффекты и оказывает влияние на объем коммуникаций посредством установления уровня и структуры цен.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Исходя из определения, отличительными признаками ТЦП являются:</w:t>
      </w:r>
    </w:p>
    <w:p w:rsidR="00D82C62" w:rsidRPr="008F0295" w:rsidRDefault="00D82C62" w:rsidP="008F0295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8F0295">
        <w:rPr>
          <w:rFonts w:ascii="Times New Roman" w:hAnsi="Times New Roman" w:cs="Times New Roman"/>
          <w:sz w:val="28"/>
          <w:szCs w:val="28"/>
        </w:rPr>
        <w:t>наличие центрального агента – оператора платформы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Речь идет о платформе в узком смысле слова – агенте, который организует взаимодействие других агентов – пользователей.</w:t>
      </w:r>
    </w:p>
    <w:p w:rsidR="00D82C62" w:rsidRPr="008F0295" w:rsidRDefault="00D82C62" w:rsidP="008F0295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8F0295">
        <w:rPr>
          <w:rFonts w:ascii="Times New Roman" w:hAnsi="Times New Roman" w:cs="Times New Roman"/>
          <w:sz w:val="28"/>
          <w:szCs w:val="28"/>
        </w:rPr>
        <w:t xml:space="preserve">поле взаимодействия 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Платформы могут существовать в двух ипостасях: платформы – рынки, взаимодействие экономических агентов на которых носит эпизодический характер разовых сделок, и платформы – сети, предполагающие устойчивые связи между пользователями, осуществляемые с помощью платформы.</w:t>
      </w:r>
    </w:p>
    <w:p w:rsidR="00D82C62" w:rsidRPr="008F0295" w:rsidRDefault="00D82C62" w:rsidP="008F0295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8F0295">
        <w:rPr>
          <w:rFonts w:ascii="Times New Roman" w:hAnsi="Times New Roman" w:cs="Times New Roman"/>
          <w:sz w:val="28"/>
          <w:szCs w:val="28"/>
        </w:rPr>
        <w:t>использование информационно-коммуникационных технологий (ИКТ) и вытекающие из этого возможности (а) удаленного взаимодействия и (б) масштабирования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Удаленное взаимодействие – это возможность коммуникации между агентами, находящимися на любом расстоянии друг от друга. Возможность масштабирования означает теоретическое отсутствие ограничений для расширения поля взаимодействия (количества пользователей);</w:t>
      </w:r>
    </w:p>
    <w:p w:rsidR="00D82C62" w:rsidRPr="008F0295" w:rsidRDefault="00D82C62" w:rsidP="008F0295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8F0295">
        <w:rPr>
          <w:rFonts w:ascii="Times New Roman" w:hAnsi="Times New Roman" w:cs="Times New Roman"/>
          <w:sz w:val="28"/>
          <w:szCs w:val="28"/>
        </w:rPr>
        <w:t xml:space="preserve">наличие сетевого эффекта – прямого или перекрестного, положительного хотя бы для одной группы пользователей 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Под прямым сетевым эффектом понимается взаимное воздействие пользователей одного вида друг на друга – спрос порождает спрос. Под перекрестным сетевым эффектом понимается воздействие численности одного вида пользователей на количество пользователей другого вида (спрос порождает предложение и наоборот). При этом не исключаются и отрицательные сетевые эффекты: так величина аудитории конкретного СМИ порождает положительный сетевой эффект для рекламодателей, а количество рекламы – отрицательный сетевой эффект для аудитории.</w:t>
      </w:r>
    </w:p>
    <w:p w:rsidR="00D82C62" w:rsidRPr="008F0295" w:rsidRDefault="00D82C62" w:rsidP="008F0295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8F0295">
        <w:rPr>
          <w:rFonts w:ascii="Times New Roman" w:hAnsi="Times New Roman" w:cs="Times New Roman"/>
          <w:sz w:val="28"/>
          <w:szCs w:val="28"/>
        </w:rPr>
        <w:t xml:space="preserve">возможность ТЦП оказывать влияние на объем коммуникаций через уровень и структуру цен </w:t>
      </w:r>
    </w:p>
    <w:p w:rsidR="00D82C62" w:rsidRPr="008F0295" w:rsidRDefault="00D82C62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Этот признак совпадает с наиболее распространенными определениями платформ, сформулированным </w:t>
      </w:r>
      <w:r w:rsidR="00390CD0" w:rsidRPr="008F0295">
        <w:rPr>
          <w:sz w:val="28"/>
          <w:szCs w:val="28"/>
        </w:rPr>
        <w:t>[</w:t>
      </w:r>
      <w:proofErr w:type="spellStart"/>
      <w:r w:rsidR="00390CD0" w:rsidRPr="008F0295">
        <w:rPr>
          <w:sz w:val="28"/>
          <w:szCs w:val="28"/>
        </w:rPr>
        <w:t>Rochet</w:t>
      </w:r>
      <w:proofErr w:type="spellEnd"/>
      <w:r w:rsidR="00390CD0" w:rsidRPr="008F0295">
        <w:rPr>
          <w:sz w:val="28"/>
          <w:szCs w:val="28"/>
        </w:rPr>
        <w:t xml:space="preserve">, </w:t>
      </w:r>
      <w:proofErr w:type="spellStart"/>
      <w:r w:rsidR="00390CD0" w:rsidRPr="008F0295">
        <w:rPr>
          <w:sz w:val="28"/>
          <w:szCs w:val="28"/>
        </w:rPr>
        <w:t>Tirol</w:t>
      </w:r>
      <w:proofErr w:type="spellEnd"/>
      <w:r w:rsidR="00390CD0" w:rsidRPr="008F0295">
        <w:rPr>
          <w:sz w:val="28"/>
          <w:szCs w:val="28"/>
        </w:rPr>
        <w:t>, 2006]</w:t>
      </w:r>
      <w:r w:rsidRPr="008F0295">
        <w:rPr>
          <w:sz w:val="28"/>
          <w:szCs w:val="28"/>
        </w:rPr>
        <w:t xml:space="preserve"> и означает возможность перераспределения выгод и издержек с одной (субсидируемой) стороны на другую (дискриминируемую) сторону.  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Пользователей ТЦП можно разделить на две группы: 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1) непосредственные – агенты, которые используют ТЦП для коммуникаций, в том числе, общения (обмена информацией), трансакций рыночного обмена и трансакций взаимности;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2) косвенные – агенты, которые используют порождаемые платформой сетевые эффекты.</w:t>
      </w:r>
    </w:p>
    <w:p w:rsidR="00550F5C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lastRenderedPageBreak/>
        <w:t xml:space="preserve">Для </w:t>
      </w:r>
      <w:proofErr w:type="spellStart"/>
      <w:r w:rsidRPr="008F0295">
        <w:rPr>
          <w:sz w:val="28"/>
          <w:szCs w:val="28"/>
        </w:rPr>
        <w:t>одноранговых</w:t>
      </w:r>
      <w:proofErr w:type="spellEnd"/>
      <w:r w:rsidRPr="008F0295">
        <w:rPr>
          <w:sz w:val="28"/>
          <w:szCs w:val="28"/>
        </w:rPr>
        <w:t xml:space="preserve"> (</w:t>
      </w:r>
      <w:r w:rsidRPr="008F0295">
        <w:rPr>
          <w:sz w:val="28"/>
          <w:szCs w:val="28"/>
          <w:lang w:val="en-US"/>
        </w:rPr>
        <w:t>peer</w:t>
      </w:r>
      <w:r w:rsidRPr="008F0295">
        <w:rPr>
          <w:sz w:val="28"/>
          <w:szCs w:val="28"/>
        </w:rPr>
        <w:t>-</w:t>
      </w:r>
      <w:r w:rsidRPr="008F0295">
        <w:rPr>
          <w:sz w:val="28"/>
          <w:szCs w:val="28"/>
          <w:lang w:val="en-US"/>
        </w:rPr>
        <w:t>to</w:t>
      </w:r>
      <w:r w:rsidRPr="008F0295">
        <w:rPr>
          <w:sz w:val="28"/>
          <w:szCs w:val="28"/>
        </w:rPr>
        <w:t>-</w:t>
      </w:r>
      <w:r w:rsidRPr="008F0295">
        <w:rPr>
          <w:sz w:val="28"/>
          <w:szCs w:val="28"/>
          <w:lang w:val="en-US"/>
        </w:rPr>
        <w:t>peer</w:t>
      </w:r>
      <w:r w:rsidRPr="008F0295">
        <w:rPr>
          <w:sz w:val="28"/>
          <w:szCs w:val="28"/>
        </w:rPr>
        <w:t>)</w:t>
      </w:r>
      <w:r w:rsidRPr="008F0295">
        <w:t xml:space="preserve"> </w:t>
      </w:r>
      <w:r w:rsidRPr="008F0295">
        <w:rPr>
          <w:sz w:val="28"/>
          <w:szCs w:val="28"/>
        </w:rPr>
        <w:t>платформ, организующих т</w:t>
      </w:r>
      <w:r>
        <w:rPr>
          <w:sz w:val="28"/>
          <w:szCs w:val="28"/>
        </w:rPr>
        <w:t>орговые трансакции, непосредственными агентами являются поставщики – агенты, предоставляющие услуги и ресурсы, и потребители – агенты, пользующиеся услугами и ресурсами поставщиков. К косвенным агентам относятся рекламодатели и сборщики информации. (рис. 1).</w:t>
      </w:r>
    </w:p>
    <w:p w:rsidR="00550F5C" w:rsidRPr="00EA2FFB" w:rsidRDefault="00550F5C" w:rsidP="008F0295">
      <w:pPr>
        <w:spacing w:after="0" w:line="240" w:lineRule="auto"/>
        <w:jc w:val="both"/>
        <w:rPr>
          <w:sz w:val="28"/>
          <w:szCs w:val="28"/>
        </w:rPr>
      </w:pPr>
      <w:r w:rsidRPr="00392983">
        <w:rPr>
          <w:noProof/>
          <w:sz w:val="28"/>
          <w:szCs w:val="28"/>
        </w:rPr>
        <w:drawing>
          <wp:inline distT="0" distB="0" distL="0" distR="0" wp14:anchorId="51EC6A37" wp14:editId="75B3ACB3">
            <wp:extent cx="5940213" cy="3514725"/>
            <wp:effectExtent l="0" t="0" r="3810" b="0"/>
            <wp:docPr id="1" name="Рисунок 1" descr="F:\Архив\Учебник\Статьи\2020\Ценоборазование\Устюжанина Рис. 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рхив\Учебник\Статьи\2020\Ценоборазование\Устюжанина Рис. 1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78" cy="3517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F5C" w:rsidRDefault="008F0295" w:rsidP="008F0295">
      <w:pPr>
        <w:spacing w:after="0" w:line="240" w:lineRule="auto"/>
        <w:ind w:firstLine="709"/>
        <w:jc w:val="center"/>
        <w:rPr>
          <w:sz w:val="28"/>
          <w:szCs w:val="28"/>
        </w:rPr>
      </w:pPr>
      <w:r w:rsidRPr="008F0295">
        <w:rPr>
          <w:b/>
          <w:sz w:val="28"/>
          <w:szCs w:val="28"/>
        </w:rPr>
        <w:t>Рис. 1.</w:t>
      </w:r>
      <w:r w:rsidR="00550F5C" w:rsidRPr="008F0295">
        <w:rPr>
          <w:b/>
          <w:sz w:val="28"/>
          <w:szCs w:val="28"/>
        </w:rPr>
        <w:t xml:space="preserve"> </w:t>
      </w:r>
      <w:r w:rsidR="00550F5C">
        <w:rPr>
          <w:sz w:val="28"/>
          <w:szCs w:val="28"/>
        </w:rPr>
        <w:t xml:space="preserve">Сетевые эффекты посреднической ТЦП </w:t>
      </w:r>
      <w:r w:rsidR="00550F5C">
        <w:rPr>
          <w:sz w:val="28"/>
          <w:szCs w:val="28"/>
        </w:rPr>
        <w:br/>
      </w:r>
      <w:r w:rsidR="00550F5C" w:rsidRPr="006869D3">
        <w:rPr>
          <w:i/>
          <w:sz w:val="28"/>
          <w:szCs w:val="28"/>
        </w:rPr>
        <w:t>Источник</w:t>
      </w:r>
      <w:r w:rsidR="00550F5C">
        <w:rPr>
          <w:sz w:val="28"/>
          <w:szCs w:val="28"/>
        </w:rPr>
        <w:t>: авторская разработка</w:t>
      </w:r>
    </w:p>
    <w:p w:rsidR="00390CD0" w:rsidRPr="008F0295" w:rsidRDefault="00390CD0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Моделированию динамического ценообразования</w:t>
      </w:r>
      <w:r w:rsidRPr="004749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услуги платформы посвящен обширный пласт работ </w:t>
      </w:r>
      <w:r w:rsidRPr="00390CD0">
        <w:rPr>
          <w:sz w:val="28"/>
          <w:szCs w:val="28"/>
        </w:rPr>
        <w:t>[</w:t>
      </w:r>
      <w:proofErr w:type="spellStart"/>
      <w:r w:rsidRPr="00390CD0">
        <w:rPr>
          <w:sz w:val="28"/>
          <w:szCs w:val="28"/>
        </w:rPr>
        <w:t>Hagiu</w:t>
      </w:r>
      <w:proofErr w:type="spellEnd"/>
      <w:r w:rsidRPr="00390CD0">
        <w:rPr>
          <w:sz w:val="28"/>
          <w:szCs w:val="28"/>
        </w:rPr>
        <w:t xml:space="preserve">, </w:t>
      </w:r>
      <w:proofErr w:type="spellStart"/>
      <w:r w:rsidRPr="00390CD0">
        <w:rPr>
          <w:sz w:val="28"/>
          <w:szCs w:val="28"/>
        </w:rPr>
        <w:t>Hałaburda</w:t>
      </w:r>
      <w:proofErr w:type="spellEnd"/>
      <w:r w:rsidRPr="00390CD0">
        <w:rPr>
          <w:sz w:val="28"/>
          <w:szCs w:val="28"/>
        </w:rPr>
        <w:t xml:space="preserve">, 2011; </w:t>
      </w:r>
      <w:proofErr w:type="spellStart"/>
      <w:r w:rsidRPr="00390CD0">
        <w:rPr>
          <w:sz w:val="28"/>
          <w:szCs w:val="28"/>
        </w:rPr>
        <w:t>Cachon</w:t>
      </w:r>
      <w:proofErr w:type="spellEnd"/>
      <w:r w:rsidRPr="005F3506">
        <w:rPr>
          <w:sz w:val="28"/>
          <w:szCs w:val="28"/>
        </w:rPr>
        <w:t xml:space="preserve"> </w:t>
      </w:r>
      <w:r w:rsidRPr="00390CD0">
        <w:rPr>
          <w:sz w:val="28"/>
          <w:szCs w:val="28"/>
        </w:rPr>
        <w:t>et</w:t>
      </w:r>
      <w:r w:rsidRPr="005F3506">
        <w:rPr>
          <w:sz w:val="28"/>
          <w:szCs w:val="28"/>
        </w:rPr>
        <w:t xml:space="preserve"> </w:t>
      </w:r>
      <w:r w:rsidRPr="00390CD0">
        <w:rPr>
          <w:sz w:val="28"/>
          <w:szCs w:val="28"/>
        </w:rPr>
        <w:t>al</w:t>
      </w:r>
      <w:r w:rsidRPr="005F3506">
        <w:rPr>
          <w:sz w:val="28"/>
          <w:szCs w:val="28"/>
        </w:rPr>
        <w:t xml:space="preserve">., 2017; </w:t>
      </w:r>
      <w:proofErr w:type="spellStart"/>
      <w:r w:rsidRPr="005F3506">
        <w:rPr>
          <w:sz w:val="28"/>
          <w:szCs w:val="28"/>
        </w:rPr>
        <w:t>Баландина</w:t>
      </w:r>
      <w:proofErr w:type="spellEnd"/>
      <w:r w:rsidRPr="005F3506">
        <w:rPr>
          <w:sz w:val="28"/>
          <w:szCs w:val="28"/>
        </w:rPr>
        <w:t xml:space="preserve">, Баскакова, 2016; </w:t>
      </w:r>
      <w:proofErr w:type="spellStart"/>
      <w:r w:rsidRPr="005F3506">
        <w:rPr>
          <w:sz w:val="28"/>
          <w:szCs w:val="28"/>
        </w:rPr>
        <w:t>Боровкова</w:t>
      </w:r>
      <w:proofErr w:type="spellEnd"/>
      <w:r w:rsidRPr="005F3506">
        <w:rPr>
          <w:sz w:val="28"/>
          <w:szCs w:val="28"/>
        </w:rPr>
        <w:t xml:space="preserve">, 2019; </w:t>
      </w:r>
      <w:proofErr w:type="spellStart"/>
      <w:r w:rsidRPr="00390CD0">
        <w:rPr>
          <w:sz w:val="28"/>
          <w:szCs w:val="28"/>
        </w:rPr>
        <w:t>Huukia</w:t>
      </w:r>
      <w:proofErr w:type="spellEnd"/>
      <w:r w:rsidRPr="00953194">
        <w:rPr>
          <w:sz w:val="28"/>
          <w:szCs w:val="28"/>
        </w:rPr>
        <w:t xml:space="preserve">, </w:t>
      </w:r>
      <w:proofErr w:type="spellStart"/>
      <w:r w:rsidRPr="00390CD0">
        <w:rPr>
          <w:sz w:val="28"/>
          <w:szCs w:val="28"/>
        </w:rPr>
        <w:t>Svento</w:t>
      </w:r>
      <w:proofErr w:type="spellEnd"/>
      <w:r w:rsidRPr="00954499">
        <w:rPr>
          <w:sz w:val="28"/>
          <w:szCs w:val="28"/>
        </w:rPr>
        <w:t>, 2020</w:t>
      </w:r>
      <w:r>
        <w:rPr>
          <w:sz w:val="28"/>
          <w:szCs w:val="28"/>
        </w:rPr>
        <w:t xml:space="preserve">; </w:t>
      </w:r>
      <w:proofErr w:type="spellStart"/>
      <w:r w:rsidRPr="00390CD0">
        <w:rPr>
          <w:sz w:val="28"/>
          <w:szCs w:val="28"/>
        </w:rPr>
        <w:t>Mart</w:t>
      </w:r>
      <w:r w:rsidRPr="00F7515B">
        <w:rPr>
          <w:sz w:val="28"/>
          <w:szCs w:val="28"/>
        </w:rPr>
        <w:t>´ı</w:t>
      </w:r>
      <w:r w:rsidRPr="00390CD0">
        <w:rPr>
          <w:sz w:val="28"/>
          <w:szCs w:val="28"/>
        </w:rPr>
        <w:t>nez</w:t>
      </w:r>
      <w:r w:rsidRPr="00F7515B">
        <w:rPr>
          <w:sz w:val="28"/>
          <w:szCs w:val="28"/>
        </w:rPr>
        <w:t>-</w:t>
      </w:r>
      <w:r w:rsidRPr="00390CD0">
        <w:rPr>
          <w:sz w:val="28"/>
          <w:szCs w:val="28"/>
        </w:rPr>
        <w:t>de</w:t>
      </w:r>
      <w:r w:rsidRPr="00F7515B">
        <w:rPr>
          <w:sz w:val="28"/>
          <w:szCs w:val="28"/>
        </w:rPr>
        <w:t>-</w:t>
      </w:r>
      <w:r w:rsidRPr="00390CD0">
        <w:rPr>
          <w:sz w:val="28"/>
          <w:szCs w:val="28"/>
        </w:rPr>
        <w:t>Alb</w:t>
      </w:r>
      <w:r w:rsidRPr="00F7515B">
        <w:rPr>
          <w:sz w:val="28"/>
          <w:szCs w:val="28"/>
        </w:rPr>
        <w:t>´</w:t>
      </w:r>
      <w:r w:rsidRPr="00390CD0">
        <w:rPr>
          <w:sz w:val="28"/>
          <w:szCs w:val="28"/>
        </w:rPr>
        <w:t>eniz</w:t>
      </w:r>
      <w:proofErr w:type="spellEnd"/>
      <w:r w:rsidRPr="00F7515B">
        <w:rPr>
          <w:sz w:val="28"/>
          <w:szCs w:val="28"/>
        </w:rPr>
        <w:t xml:space="preserve"> </w:t>
      </w:r>
      <w:r>
        <w:rPr>
          <w:sz w:val="28"/>
          <w:szCs w:val="28"/>
        </w:rPr>
        <w:t>и др., 2020]. Объектами моделирования выступают как различные формы ценообразования</w:t>
      </w:r>
      <w:r w:rsidRPr="00390CD0">
        <w:rPr>
          <w:sz w:val="28"/>
          <w:szCs w:val="28"/>
        </w:rPr>
        <w:t xml:space="preserve"> (</w:t>
      </w:r>
      <w:r>
        <w:rPr>
          <w:sz w:val="28"/>
          <w:szCs w:val="28"/>
        </w:rPr>
        <w:t>членские взносы, плата за трансакции, перекрестное субсидирование</w:t>
      </w:r>
      <w:r w:rsidRPr="00390CD0">
        <w:rPr>
          <w:sz w:val="28"/>
          <w:szCs w:val="28"/>
        </w:rPr>
        <w:t>)</w:t>
      </w:r>
      <w:r>
        <w:rPr>
          <w:sz w:val="28"/>
          <w:szCs w:val="28"/>
        </w:rPr>
        <w:t>, так и изменение цен во времени, установление дифференцированных цен для различных групп потребителей и т.д. Однако б</w:t>
      </w:r>
      <w:r w:rsidRPr="00390CD0">
        <w:rPr>
          <w:sz w:val="28"/>
          <w:szCs w:val="28"/>
        </w:rPr>
        <w:t>о</w:t>
      </w:r>
      <w:r>
        <w:rPr>
          <w:sz w:val="28"/>
          <w:szCs w:val="28"/>
        </w:rPr>
        <w:t xml:space="preserve">льшая часть этих моделей посвящена вопросам текущего перераспределения выгод и издержек между различными группами пользователей в зависимости от изменения внешних условий, уровня </w:t>
      </w:r>
      <w:r w:rsidRPr="008F0295">
        <w:rPr>
          <w:sz w:val="28"/>
          <w:szCs w:val="28"/>
        </w:rPr>
        <w:t xml:space="preserve">асимметрии информации, размера сети, ожиданий и предпочтений участников. То есть под динамическим ценообразованием авторы соответствующих работ понимают политику гибких цен, реагирующих на те или иные изменения исходных параметров, в том числе количество участников сети. В лучшем случае речь идет о динамической модели на основе </w:t>
      </w:r>
      <w:proofErr w:type="spellStart"/>
      <w:r w:rsidRPr="008F0295">
        <w:rPr>
          <w:sz w:val="28"/>
          <w:szCs w:val="28"/>
        </w:rPr>
        <w:t>марковской</w:t>
      </w:r>
      <w:proofErr w:type="spellEnd"/>
      <w:r w:rsidRPr="008F0295">
        <w:rPr>
          <w:sz w:val="28"/>
          <w:szCs w:val="28"/>
        </w:rPr>
        <w:t xml:space="preserve"> цепи, охватывающей несколько периодов [</w:t>
      </w:r>
      <w:proofErr w:type="spellStart"/>
      <w:r w:rsidRPr="008F0295">
        <w:rPr>
          <w:sz w:val="28"/>
          <w:szCs w:val="28"/>
        </w:rPr>
        <w:t>Doganoglu</w:t>
      </w:r>
      <w:proofErr w:type="spellEnd"/>
      <w:r w:rsidRPr="008F0295">
        <w:rPr>
          <w:sz w:val="28"/>
          <w:szCs w:val="28"/>
        </w:rPr>
        <w:t xml:space="preserve">, 2003; </w:t>
      </w:r>
      <w:proofErr w:type="spellStart"/>
      <w:r w:rsidRPr="008F0295">
        <w:rPr>
          <w:sz w:val="28"/>
          <w:szCs w:val="28"/>
        </w:rPr>
        <w:t>Mitchell</w:t>
      </w:r>
      <w:proofErr w:type="spellEnd"/>
      <w:r w:rsidRPr="008F0295">
        <w:rPr>
          <w:sz w:val="28"/>
          <w:szCs w:val="28"/>
        </w:rPr>
        <w:t xml:space="preserve"> M., </w:t>
      </w:r>
      <w:proofErr w:type="spellStart"/>
      <w:r w:rsidRPr="008F0295">
        <w:rPr>
          <w:sz w:val="28"/>
          <w:szCs w:val="28"/>
        </w:rPr>
        <w:t>Skrzypacz</w:t>
      </w:r>
      <w:proofErr w:type="spellEnd"/>
      <w:r w:rsidRPr="008F0295">
        <w:rPr>
          <w:sz w:val="28"/>
          <w:szCs w:val="28"/>
        </w:rPr>
        <w:t xml:space="preserve">, 2006]. Однако приходится констатировать дефицит работ, посвященных моделированию ценообразования на услуги оператора платформы на протяжении всего ее </w:t>
      </w:r>
      <w:r w:rsidRPr="008F0295">
        <w:rPr>
          <w:sz w:val="28"/>
          <w:szCs w:val="28"/>
        </w:rPr>
        <w:lastRenderedPageBreak/>
        <w:t xml:space="preserve">жизненного цикла – движения от момента появления платформы на рынке (начального состояния) до достижения стабильного действия сетевого эффекта. </w:t>
      </w:r>
    </w:p>
    <w:p w:rsidR="00390CD0" w:rsidRPr="008F0295" w:rsidRDefault="00390CD0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Еще одним общим недостатком большей части работ, моделирующих ценообразование на услуги платформ, является довольно примитивные способы отражения влияния на поведение потребителей уровня цен и размера сети (доли реальных пользователей в общем объеме потенциального спроса). Так, во многих моделях предполагается, что влияние цены на уровень полезности потребителя носит характер обратной линейной зависимости, что представляется нам чрезмерным упрощением.</w:t>
      </w:r>
    </w:p>
    <w:p w:rsidR="00390CD0" w:rsidRPr="008F0295" w:rsidRDefault="00390CD0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Что касается сетевого эффекта, то для его отражения используются либо линейный [</w:t>
      </w:r>
      <w:proofErr w:type="spellStart"/>
      <w:r w:rsidRPr="008F0295">
        <w:rPr>
          <w:sz w:val="28"/>
          <w:szCs w:val="28"/>
        </w:rPr>
        <w:t>Lin</w:t>
      </w:r>
      <w:proofErr w:type="spellEnd"/>
      <w:r w:rsidRPr="008F0295">
        <w:rPr>
          <w:sz w:val="28"/>
          <w:szCs w:val="28"/>
        </w:rPr>
        <w:t xml:space="preserve"> </w:t>
      </w:r>
      <w:proofErr w:type="spellStart"/>
      <w:r w:rsidRPr="008F0295">
        <w:rPr>
          <w:sz w:val="28"/>
          <w:szCs w:val="28"/>
        </w:rPr>
        <w:t>et</w:t>
      </w:r>
      <w:proofErr w:type="spellEnd"/>
      <w:r w:rsidRPr="008F0295">
        <w:rPr>
          <w:sz w:val="28"/>
          <w:szCs w:val="28"/>
        </w:rPr>
        <w:t xml:space="preserve"> </w:t>
      </w:r>
      <w:proofErr w:type="spellStart"/>
      <w:r w:rsidRPr="008F0295">
        <w:rPr>
          <w:sz w:val="28"/>
          <w:szCs w:val="28"/>
        </w:rPr>
        <w:t>al</w:t>
      </w:r>
      <w:proofErr w:type="spellEnd"/>
      <w:r w:rsidRPr="008F0295">
        <w:rPr>
          <w:sz w:val="28"/>
          <w:szCs w:val="28"/>
        </w:rPr>
        <w:t>, 2019], либо степенной [</w:t>
      </w:r>
      <w:proofErr w:type="spellStart"/>
      <w:r w:rsidRPr="008F0295">
        <w:rPr>
          <w:sz w:val="28"/>
          <w:szCs w:val="28"/>
        </w:rPr>
        <w:t>Huukia</w:t>
      </w:r>
      <w:proofErr w:type="spellEnd"/>
      <w:r w:rsidRPr="008F0295">
        <w:rPr>
          <w:sz w:val="28"/>
          <w:szCs w:val="28"/>
        </w:rPr>
        <w:t xml:space="preserve">, </w:t>
      </w:r>
      <w:proofErr w:type="spellStart"/>
      <w:r w:rsidRPr="008F0295">
        <w:rPr>
          <w:sz w:val="28"/>
          <w:szCs w:val="28"/>
        </w:rPr>
        <w:t>Svento</w:t>
      </w:r>
      <w:proofErr w:type="spellEnd"/>
      <w:r w:rsidRPr="008F0295">
        <w:rPr>
          <w:sz w:val="28"/>
          <w:szCs w:val="28"/>
        </w:rPr>
        <w:t xml:space="preserve">, 2020] вид функции зависимости того или иного параметра от значения аргумента (объема сети в абсолютном или относительном выражении). Однако и тот, и другой вид зависимости плохо отражает реальную динамику действия сетевого эффекта – очень медленный рост вначале, последующее ускорение и замедление по мере выхода на плато насыщения. Исключением из этой тенденции являются работы авторов данной статьи [Дементьев и др., 2020], использующие для описания сетевого эффекта логистическую функцию </w:t>
      </w:r>
      <w:proofErr w:type="spellStart"/>
      <w:r w:rsidRPr="008F0295">
        <w:rPr>
          <w:sz w:val="28"/>
          <w:szCs w:val="28"/>
        </w:rPr>
        <w:t>Ферхюльста</w:t>
      </w:r>
      <w:proofErr w:type="spellEnd"/>
      <w:r w:rsidRPr="008F0295">
        <w:rPr>
          <w:sz w:val="28"/>
          <w:szCs w:val="28"/>
        </w:rPr>
        <w:t>.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Для анализа основных зависимостей и возможности достижения окупаемости проекта создания и раскручивания сети мы создали экономико-математическую модель, описывающую взаимодействие платформы с тремя группами агентов – поставщиками, посетителями (потенциальными покупателями) и рекламодателями.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Платформа-посредник соединяет продавцов и покупателей некоего товара (услуги). Платформа может получать плату из двух источников: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1) за количество заключенных сделок (от продавцов); 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2) за объем размещенной рекламы (от рекламодателей).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Иными словами, субсидируемой стороной в нашей модели выступают потребители, что, безусловно, не означает отсутствия реальной платы потребителей за услуги платформы. Просто это плата взимается с них в составе цен на товары (услуги) поставщиков. Плата за вход, как и абонентская плата не взимаются.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В целях упрощения анализа предполагается, что общее количество рекламных мест (время-место) фиксировано. То есть, мы не рассматриваем эффекты влияния на количество непосредственных пользователей объема рекламы и зависимость стоимости единицы рекламного места от числа единиц размещенной рекламы. Также мы не исследуем очень важную связь между количеством непосредственных пользователей и объемом средств, вкладываемых в продвижение самой платформы. Предполагается, что соответствующие издержки включены в инвестиционные и текущие (постоянные) затраты платформы.</w:t>
      </w:r>
    </w:p>
    <w:p w:rsidR="00550F5C" w:rsidRPr="008F0295" w:rsidRDefault="00550F5C" w:rsidP="008F0295">
      <w:pPr>
        <w:keepNext/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lastRenderedPageBreak/>
        <w:t>Основные зависимости модели: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- количество посетителей (потенциальных покупателей) зависит от числа представленных на платформе поставщиков;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- число поставщиков зависит от числа заключенных в предшествующий период сделок;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- число сделок зависит от количества поставщиков и посетителей, а также ценовой политики платформы;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- стоимость единицы рекламного места зависит от числа посетителей.</w:t>
      </w:r>
    </w:p>
    <w:p w:rsidR="00550F5C" w:rsidRPr="008F0295" w:rsidRDefault="00550F5C" w:rsidP="008F0295">
      <w:pPr>
        <w:keepNext/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Основные допущения модели: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1. Существует верхний предел количества поставщиков, которые могут прийти на платформу.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2. Существует верхний предел количества посетителей (потенциальных покупателей), которые могут прийти на платформу.</w:t>
      </w:r>
    </w:p>
    <w:p w:rsidR="00550F5C" w:rsidRPr="008F0295" w:rsidRDefault="00550F5C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3. Существуют рыночные цены конкурентов – стоимость рекламного места (место/время размещения) и комиссия за посредничество в сделке.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Платформа выбирает: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- период бесплатного предоставления услуги поставщикам.</w:t>
      </w:r>
    </w:p>
    <w:p w:rsidR="00550F5C" w:rsidRPr="008F0295" w:rsidRDefault="00550F5C" w:rsidP="008F0295">
      <w:pPr>
        <w:tabs>
          <w:tab w:val="left" w:pos="369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- уровень дисконта в оплате по сравнению с другими платформами после достижения сетевого эффекта (выхода на плато насыщения).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Компьютерный эксперимент позволил получить следующие результаты.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1. Разработанная авторами экономико-математическая модель функционирования платформы как бизнеса позволяет оценить возможность и риски достижения окупаемости данного проекта для компании-оператора.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2. Выявлено, что логистический класс функций позволяет наиболее адекватно описывать развертывание сетевого эффекта во времени в зависимости от изменения базовых параметров взаимодействия.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3. Показано, что взимание платы за услуги платформы, оказываемые поставщикам, целесообразно начинать после достижения порогового значения числа поставщиков, сопоставимого с прогнозом количества поставщиков после введения платы.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4. Установлено, что целесообразность снижения платы за услуги платформы по сравнению с ценами конкурентов, зависит от эластичности количества поставщиков от цены сделки.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5. Показано, что косвенные доходы (в конкретном случае – реклама) могут являться значимым источником денежных поступлений, за счет которых платформа может выйти на уровень покрытия текущих расходов.</w:t>
      </w:r>
    </w:p>
    <w:p w:rsidR="00A262F3" w:rsidRPr="008F0295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>6. Продемонстрировано, что при благоприятном стечении обстоятельств окупаемость проекта может быть достигнута в относительно короткие сроки.</w:t>
      </w:r>
    </w:p>
    <w:p w:rsidR="000D6072" w:rsidRDefault="00A262F3" w:rsidP="008F0295">
      <w:pPr>
        <w:spacing w:after="0" w:line="240" w:lineRule="auto"/>
        <w:ind w:firstLine="709"/>
        <w:jc w:val="both"/>
        <w:rPr>
          <w:sz w:val="28"/>
          <w:szCs w:val="28"/>
        </w:rPr>
      </w:pPr>
      <w:r w:rsidRPr="008F0295">
        <w:rPr>
          <w:sz w:val="28"/>
          <w:szCs w:val="28"/>
        </w:rPr>
        <w:t xml:space="preserve">7. Показано, что возможность достижения окупаемости проекта существенным образом зависит от скорости наращивания и исчерпания </w:t>
      </w:r>
      <w:r w:rsidRPr="008F0295">
        <w:rPr>
          <w:sz w:val="28"/>
          <w:szCs w:val="28"/>
        </w:rPr>
        <w:lastRenderedPageBreak/>
        <w:t>сетевых эффектов. Это означает, что риски неправильного прогноза</w:t>
      </w:r>
      <w:r w:rsidRPr="00876ABA">
        <w:rPr>
          <w:sz w:val="28"/>
          <w:szCs w:val="28"/>
        </w:rPr>
        <w:t xml:space="preserve"> динамики развертывания сетевых эффектов чрезвычайно высоки.</w:t>
      </w:r>
    </w:p>
    <w:p w:rsidR="008F0295" w:rsidRDefault="008F0295" w:rsidP="008F029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586AE2" w:rsidRPr="008F0295" w:rsidRDefault="00586AE2" w:rsidP="008F0295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  <w:r w:rsidRPr="008F0295">
        <w:rPr>
          <w:rFonts w:ascii="Times New Roman" w:hAnsi="Times New Roman" w:cs="Times New Roman"/>
          <w:b/>
          <w:i/>
          <w:color w:val="auto"/>
          <w:sz w:val="24"/>
          <w:szCs w:val="28"/>
        </w:rPr>
        <w:t xml:space="preserve">Список </w:t>
      </w:r>
      <w:r w:rsidR="008F0295" w:rsidRPr="008F0295">
        <w:rPr>
          <w:rFonts w:ascii="Times New Roman" w:hAnsi="Times New Roman" w:cs="Times New Roman"/>
          <w:b/>
          <w:i/>
          <w:color w:val="auto"/>
          <w:sz w:val="24"/>
          <w:szCs w:val="28"/>
        </w:rPr>
        <w:t xml:space="preserve">использованной </w:t>
      </w:r>
      <w:r w:rsidRPr="008F0295">
        <w:rPr>
          <w:rFonts w:ascii="Times New Roman" w:hAnsi="Times New Roman" w:cs="Times New Roman"/>
          <w:b/>
          <w:i/>
          <w:color w:val="auto"/>
          <w:sz w:val="24"/>
          <w:szCs w:val="28"/>
        </w:rPr>
        <w:t>литературы</w:t>
      </w:r>
      <w:r w:rsidR="008F0295" w:rsidRPr="008F0295">
        <w:rPr>
          <w:rFonts w:ascii="Times New Roman" w:hAnsi="Times New Roman" w:cs="Times New Roman"/>
          <w:b/>
          <w:i/>
          <w:color w:val="auto"/>
          <w:sz w:val="24"/>
          <w:szCs w:val="28"/>
        </w:rPr>
        <w:t>: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</w:rPr>
        <w:t>Баландина</w:t>
      </w:r>
      <w:proofErr w:type="spellEnd"/>
      <w:r w:rsidRPr="008F0295">
        <w:rPr>
          <w:rFonts w:ascii="Times New Roman" w:hAnsi="Times New Roman" w:cs="Times New Roman"/>
          <w:sz w:val="24"/>
          <w:szCs w:val="24"/>
        </w:rPr>
        <w:t xml:space="preserve"> М.С., Баскакова И.В. (2016) Двусторонние рынки: определение понятия, ключевые характеристики и инструменты оценки // </w:t>
      </w:r>
      <w:r w:rsidRPr="008F0295">
        <w:rPr>
          <w:rFonts w:ascii="Times New Roman" w:hAnsi="Times New Roman" w:cs="Times New Roman"/>
          <w:i/>
          <w:sz w:val="24"/>
          <w:szCs w:val="24"/>
        </w:rPr>
        <w:t>Известия Уральского государственного экономического университета</w:t>
      </w:r>
      <w:r w:rsidRPr="008F0295">
        <w:rPr>
          <w:rFonts w:ascii="Times New Roman" w:hAnsi="Times New Roman" w:cs="Times New Roman"/>
          <w:sz w:val="24"/>
          <w:szCs w:val="24"/>
        </w:rPr>
        <w:t xml:space="preserve">, № 2 (64). С. 12-20. 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</w:rPr>
        <w:t>Боровкова</w:t>
      </w:r>
      <w:proofErr w:type="spellEnd"/>
      <w:r w:rsidRPr="008F0295">
        <w:rPr>
          <w:rFonts w:ascii="Times New Roman" w:hAnsi="Times New Roman" w:cs="Times New Roman"/>
          <w:sz w:val="24"/>
          <w:szCs w:val="24"/>
        </w:rPr>
        <w:t xml:space="preserve"> А.Е. (2019) Поведение фирмы-посредника на двустороннем рынке при дифференциации продукта в условиях асимметрии информации // </w:t>
      </w:r>
      <w:r w:rsidRPr="008F0295">
        <w:rPr>
          <w:rFonts w:ascii="Times New Roman" w:hAnsi="Times New Roman" w:cs="Times New Roman"/>
          <w:i/>
          <w:sz w:val="24"/>
          <w:szCs w:val="24"/>
        </w:rPr>
        <w:t>Экономика и математические методы</w:t>
      </w:r>
      <w:r w:rsidRPr="008F0295">
        <w:rPr>
          <w:rFonts w:ascii="Times New Roman" w:hAnsi="Times New Roman" w:cs="Times New Roman"/>
          <w:sz w:val="24"/>
          <w:szCs w:val="24"/>
        </w:rPr>
        <w:t>, Т. 55. № 2. С. 104-117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F0295">
        <w:rPr>
          <w:rFonts w:ascii="Times New Roman" w:hAnsi="Times New Roman" w:cs="Times New Roman"/>
          <w:sz w:val="24"/>
          <w:szCs w:val="24"/>
        </w:rPr>
        <w:t xml:space="preserve">Дементьев В.Е., </w:t>
      </w:r>
      <w:proofErr w:type="spellStart"/>
      <w:r w:rsidRPr="008F0295">
        <w:rPr>
          <w:rFonts w:ascii="Times New Roman" w:hAnsi="Times New Roman" w:cs="Times New Roman"/>
          <w:sz w:val="24"/>
          <w:szCs w:val="24"/>
        </w:rPr>
        <w:t>Евсюков</w:t>
      </w:r>
      <w:proofErr w:type="spellEnd"/>
      <w:r w:rsidRPr="008F0295">
        <w:rPr>
          <w:rFonts w:ascii="Times New Roman" w:hAnsi="Times New Roman" w:cs="Times New Roman"/>
          <w:sz w:val="24"/>
          <w:szCs w:val="24"/>
        </w:rPr>
        <w:t xml:space="preserve"> С.Г., Устюжанина Е.В. (2017) Гибридные формы организации бизнеса: к вопросу об анализе межфирменных взаимодействий // </w:t>
      </w:r>
      <w:r w:rsidRPr="008F0295">
        <w:rPr>
          <w:rFonts w:ascii="Times New Roman" w:hAnsi="Times New Roman" w:cs="Times New Roman"/>
          <w:i/>
          <w:sz w:val="24"/>
          <w:szCs w:val="24"/>
        </w:rPr>
        <w:t>Российский журнал менеджмента</w:t>
      </w:r>
      <w:r w:rsidRPr="008F0295">
        <w:rPr>
          <w:rFonts w:ascii="Times New Roman" w:hAnsi="Times New Roman" w:cs="Times New Roman"/>
          <w:sz w:val="24"/>
          <w:szCs w:val="24"/>
        </w:rPr>
        <w:t>, Т. 15. № 1. С. 89-122.</w:t>
      </w:r>
    </w:p>
    <w:p w:rsidR="00586AE2" w:rsidRPr="008F0295" w:rsidRDefault="008F0295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hyperlink r:id="rId6" w:history="1">
        <w:r w:rsidR="00586AE2" w:rsidRPr="008F0295">
          <w:rPr>
            <w:rFonts w:ascii="Times New Roman" w:hAnsi="Times New Roman" w:cs="Times New Roman"/>
            <w:sz w:val="24"/>
            <w:szCs w:val="24"/>
          </w:rPr>
          <w:t>Йоффи</w:t>
        </w:r>
      </w:hyperlink>
      <w:r w:rsidR="00586AE2" w:rsidRPr="008F0295">
        <w:rPr>
          <w:rFonts w:ascii="Times New Roman" w:hAnsi="Times New Roman" w:cs="Times New Roman"/>
          <w:sz w:val="24"/>
          <w:szCs w:val="24"/>
        </w:rPr>
        <w:t xml:space="preserve"> Д., </w:t>
      </w:r>
      <w:hyperlink r:id="rId7" w:history="1">
        <w:r w:rsidR="00586AE2" w:rsidRPr="008F0295">
          <w:rPr>
            <w:rFonts w:ascii="Times New Roman" w:hAnsi="Times New Roman" w:cs="Times New Roman"/>
            <w:sz w:val="24"/>
            <w:szCs w:val="24"/>
          </w:rPr>
          <w:t>Гавер</w:t>
        </w:r>
      </w:hyperlink>
      <w:r w:rsidR="00586AE2" w:rsidRPr="008F0295">
        <w:rPr>
          <w:rFonts w:ascii="Times New Roman" w:hAnsi="Times New Roman" w:cs="Times New Roman"/>
          <w:sz w:val="24"/>
          <w:szCs w:val="24"/>
        </w:rPr>
        <w:t xml:space="preserve"> А., </w:t>
      </w:r>
      <w:hyperlink r:id="rId8" w:history="1">
        <w:r w:rsidR="00586AE2" w:rsidRPr="008F0295">
          <w:rPr>
            <w:rFonts w:ascii="Times New Roman" w:hAnsi="Times New Roman" w:cs="Times New Roman"/>
            <w:sz w:val="24"/>
            <w:szCs w:val="24"/>
          </w:rPr>
          <w:t>Кусумано</w:t>
        </w:r>
      </w:hyperlink>
      <w:r w:rsidR="00586AE2" w:rsidRPr="008F0295">
        <w:rPr>
          <w:rFonts w:ascii="Times New Roman" w:hAnsi="Times New Roman" w:cs="Times New Roman"/>
          <w:sz w:val="24"/>
          <w:szCs w:val="24"/>
        </w:rPr>
        <w:t xml:space="preserve"> М. (2019) Почему умирают цифровые платформы [Электронный ресурс] Ведомости, 21.12.2019.  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</w:rPr>
        <w:t>Яблон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0295">
        <w:rPr>
          <w:rFonts w:ascii="Times New Roman" w:hAnsi="Times New Roman" w:cs="Times New Roman"/>
          <w:sz w:val="24"/>
          <w:szCs w:val="24"/>
        </w:rPr>
        <w:t xml:space="preserve">кий С.А. (2013) Многосторонние платформы и рынки: основные подходы, концепции и практики // </w:t>
      </w:r>
      <w:r w:rsidRPr="008F0295">
        <w:rPr>
          <w:rFonts w:ascii="Times New Roman" w:hAnsi="Times New Roman" w:cs="Times New Roman"/>
          <w:i/>
          <w:sz w:val="24"/>
          <w:szCs w:val="24"/>
        </w:rPr>
        <w:t>Российский журнал менеджмента</w:t>
      </w:r>
      <w:r w:rsidRPr="008F0295">
        <w:rPr>
          <w:rFonts w:ascii="Times New Roman" w:hAnsi="Times New Roman" w:cs="Times New Roman"/>
          <w:sz w:val="24"/>
          <w:szCs w:val="24"/>
        </w:rPr>
        <w:t xml:space="preserve">, Т. 11. 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№ 4, </w:t>
      </w:r>
      <w:r w:rsidRPr="008F0295">
        <w:rPr>
          <w:rFonts w:ascii="Times New Roman" w:hAnsi="Times New Roman" w:cs="Times New Roman"/>
          <w:sz w:val="24"/>
          <w:szCs w:val="24"/>
        </w:rPr>
        <w:t>С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>. 57–78.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Cachon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G., Daniels K.,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Lobel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R. (2017) The Role of Surge Pricing on a Service Platform with Self-Scheduling Capacity // </w:t>
      </w:r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Manufacturing &amp; Service Operations Management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>, Vol. 19, 3. P. 337-507.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Doganoglu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T. (2003) Dynamic price competition with consumption externalities // </w:t>
      </w:r>
      <w:proofErr w:type="spellStart"/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Netnomics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, 5, P. 43–69. </w:t>
      </w:r>
    </w:p>
    <w:p w:rsidR="00586AE2" w:rsidRPr="008F0295" w:rsidRDefault="00586AE2" w:rsidP="008F0295">
      <w:pPr>
        <w:pStyle w:val="a5"/>
        <w:numPr>
          <w:ilvl w:val="0"/>
          <w:numId w:val="2"/>
        </w:numPr>
        <w:tabs>
          <w:tab w:val="left" w:pos="709"/>
        </w:tabs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Mart´ınez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>-de-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Alb´eniz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V., Pinto C.,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Amorim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P. (2020) Driving Supply to Marketplaces: Optimal Platform Pricing when Suppliers Share Inventory. Available at SSRN: </w:t>
      </w:r>
      <w:hyperlink r:id="rId9" w:tgtFrame="_blank" w:history="1">
        <w:r w:rsidRPr="008F0295">
          <w:rPr>
            <w:rFonts w:ascii="Times New Roman" w:hAnsi="Times New Roman" w:cs="Times New Roman"/>
            <w:sz w:val="24"/>
            <w:szCs w:val="24"/>
            <w:lang w:val="en-US"/>
          </w:rPr>
          <w:t>https://ssrn.com/abstract=3643261</w:t>
        </w:r>
      </w:hyperlink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Hagiu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A.,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Hałaburda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H. (2011) Expectations, Network Effects and Platform Pricing. Harvard Business School Working Papers 12-045. December. 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Huukia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H.,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Svento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R. (2020) </w:t>
      </w:r>
      <w:proofErr w:type="gramStart"/>
      <w:r w:rsidRPr="008F0295">
        <w:rPr>
          <w:rFonts w:ascii="Times New Roman" w:hAnsi="Times New Roman" w:cs="Times New Roman"/>
          <w:sz w:val="24"/>
          <w:szCs w:val="24"/>
          <w:lang w:val="en-US"/>
        </w:rPr>
        <w:t>Unobserved</w:t>
      </w:r>
      <w:proofErr w:type="gram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preferences and dynamic platform pricing under positive network externality // </w:t>
      </w:r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Econometrics: Econometric &amp; Statistical Methods - Special Topics</w:t>
      </w:r>
      <w:r w:rsidRPr="008F029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8F0295">
        <w:rPr>
          <w:rFonts w:ascii="Times New Roman" w:hAnsi="Times New Roman" w:cs="Times New Roman"/>
          <w:i/>
          <w:iCs/>
          <w:sz w:val="24"/>
          <w:szCs w:val="24"/>
          <w:lang w:val="en-US"/>
        </w:rPr>
        <w:t>eJournal</w:t>
      </w:r>
      <w:proofErr w:type="spellEnd"/>
      <w:r w:rsidRPr="008F029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>Available at SSRN: </w:t>
      </w:r>
      <w:hyperlink r:id="rId10" w:history="1">
        <w:r w:rsidRPr="008F0295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https://ssrn.com/abstract=3549246</w:t>
        </w:r>
      </w:hyperlink>
      <w:r w:rsidRPr="008F029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Lin X., Chen C., Lin Z., Zhou Y. (2019) Pricing and Service Strategies for Two-sided Platforms // </w:t>
      </w:r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Journal of Systems Science and Systems Engineering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>, Vol. 28, 3, Р. 299–316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Mitchell M.,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Skrzypacz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A. (2006) Network Externalities and Long-Run Market Share // </w:t>
      </w:r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Economic Theory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, 29. P. 621–648. 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Rochet J. C.,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Tirole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J. (2003) Platform competition in two-sided markets // </w:t>
      </w:r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Journal of the European Economic Association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, Vol. 1. 4. P. 990–1029. </w:t>
      </w:r>
    </w:p>
    <w:p w:rsidR="00586AE2" w:rsidRPr="008F0295" w:rsidRDefault="00586AE2" w:rsidP="008F029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Rochet J. C., </w:t>
      </w:r>
      <w:proofErr w:type="spellStart"/>
      <w:r w:rsidRPr="008F0295">
        <w:rPr>
          <w:rFonts w:ascii="Times New Roman" w:hAnsi="Times New Roman" w:cs="Times New Roman"/>
          <w:sz w:val="24"/>
          <w:szCs w:val="24"/>
          <w:lang w:val="en-US"/>
        </w:rPr>
        <w:t>Tirole</w:t>
      </w:r>
      <w:proofErr w:type="spellEnd"/>
      <w:r w:rsidRPr="008F0295">
        <w:rPr>
          <w:rFonts w:ascii="Times New Roman" w:hAnsi="Times New Roman" w:cs="Times New Roman"/>
          <w:sz w:val="24"/>
          <w:szCs w:val="24"/>
          <w:lang w:val="en-US"/>
        </w:rPr>
        <w:t xml:space="preserve"> J. (2006) Two-sided markets: a progress report // </w:t>
      </w:r>
      <w:r w:rsidRPr="008F0295">
        <w:rPr>
          <w:rFonts w:ascii="Times New Roman" w:hAnsi="Times New Roman" w:cs="Times New Roman"/>
          <w:i/>
          <w:sz w:val="24"/>
          <w:szCs w:val="24"/>
          <w:lang w:val="en-US"/>
        </w:rPr>
        <w:t>The RAND Journal of Economics</w:t>
      </w:r>
      <w:r w:rsidRPr="008F0295">
        <w:rPr>
          <w:rFonts w:ascii="Times New Roman" w:hAnsi="Times New Roman" w:cs="Times New Roman"/>
          <w:sz w:val="24"/>
          <w:szCs w:val="24"/>
          <w:lang w:val="en-US"/>
        </w:rPr>
        <w:t>, Vol. 37, 3. P. 645–667.</w:t>
      </w:r>
    </w:p>
    <w:sectPr w:rsidR="00586AE2" w:rsidRPr="008F0295" w:rsidSect="008F0295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A73F99"/>
    <w:multiLevelType w:val="hybridMultilevel"/>
    <w:tmpl w:val="0CF454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7AE58B0"/>
    <w:multiLevelType w:val="hybridMultilevel"/>
    <w:tmpl w:val="53DE03E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961"/>
    <w:rsid w:val="00007763"/>
    <w:rsid w:val="000D6072"/>
    <w:rsid w:val="00124C39"/>
    <w:rsid w:val="00390CD0"/>
    <w:rsid w:val="00550F5C"/>
    <w:rsid w:val="00586AE2"/>
    <w:rsid w:val="008F0295"/>
    <w:rsid w:val="00A262F3"/>
    <w:rsid w:val="00C15FC7"/>
    <w:rsid w:val="00D82C62"/>
    <w:rsid w:val="00E542B4"/>
    <w:rsid w:val="00ED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3AC9F-CE56-4FD7-BBDE-F75C73A5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961"/>
    <w:pPr>
      <w:spacing w:after="20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6AE2"/>
    <w:pPr>
      <w:keepNext/>
      <w:keepLines/>
      <w:spacing w:before="40" w:after="0"/>
      <w:ind w:firstLine="709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ED296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82C62"/>
    <w:pPr>
      <w:spacing w:after="120"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86A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footnote text"/>
    <w:basedOn w:val="a"/>
    <w:link w:val="a6"/>
    <w:uiPriority w:val="99"/>
    <w:semiHidden/>
    <w:unhideWhenUsed/>
    <w:rsid w:val="00586AE2"/>
    <w:pPr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586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authors\819348-maikl-kusumano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authors\819347-annabel-gav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authors\819346-devid-ioff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tiff"/><Relationship Id="rId10" Type="http://schemas.openxmlformats.org/officeDocument/2006/relationships/hyperlink" Target="https://ssrn.com/abstract=35492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srn.com/abstract=36432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PC</dc:creator>
  <cp:keywords/>
  <dc:description/>
  <cp:lastModifiedBy>Воронова Полина Александровна</cp:lastModifiedBy>
  <cp:revision>2</cp:revision>
  <dcterms:created xsi:type="dcterms:W3CDTF">2020-10-03T12:32:00Z</dcterms:created>
  <dcterms:modified xsi:type="dcterms:W3CDTF">2020-10-03T12:32:00Z</dcterms:modified>
</cp:coreProperties>
</file>